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2023-01-31 17:21:00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2487"/>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4"/>
          <w:bookmarkEnd w:id="264"/>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w:t>
      </w:r>
      <w:bookmarkEnd w:id="108"/>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1-31T17:21:13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1-31T17:21:13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This element specifies whether the parent section in this document shall have a different header and footer for its first page.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This element specifies the vertical alignment for text on pages in the current section, relative to the top and bottom margins in the main document story on each page.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This element specifies the type of the current section. The section type specifies how the contents of the current section shall be placed relative to the previous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This element specifies the direction of the text flow for this section.</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w:t>
      </w:r>
      <w:bookmarkEnd w:id="16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AddDefaultStyle(path, Name);</w:t>
      </w:r>
      <w:bookmarkEnd w:id="198"/>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This element specifies the set of alternative names for the parent style definition.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This element specifies whether an application shall automatically modify this style when the contents of an entire paragraph in the document with this style applied are modified, ensuring that although only a single instance of text with this style was modified, that change is stored on the style and therefore propagated to all locations where the style is in use.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This element specifies the style ID of the parent style from which this style inherits in the style inheritance. The style inheritance refers to a set of styles which inherit from one another to produce the resulting set of properties for a single style. The val attribute of this element specifies the styleId attribute for the parent style in the style inheritance.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This element specifies whether this style shall be hidden from any and all user interfaces when this document is loaded by an application. If this element is set, then this style may be used to format content (i.e. any content which references this style shall have its properties as normal), but the style shall be hidden from all user interface associated with that application. [Note: This setting is typically used to hide styles which are being used internally by an application which should not be used as formatting in a typical case.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Linked Style Reference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This element specifies whether an application shall prevent the use of this style when this document is loaded and/or modified. If this element is set, then this style may be used to format existing content (i.e. any content which references this style shall have its properties as normal), but new instances of the style shall be prevented from being applied via all mechanisms associated with that application.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Style For Next Paragraph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This element specifies that the parent style, when in use in the context of an e-mail message, was used by default to format all message text from one or more users. [Note: This setting does not provide any additional semantic about the style, but may be used in the context of e-mail to automatically reformat the contents of the e-mail message while ignoring any content to which styles were deliberately applied (since this style was implicitly applied to message text without user interaction).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This element specifies that the parent style, when in use in the context of an e-mail message, may be used by default to format new message text within the e-mail message. [Note: This setting does not provide any additional semantic about the style, but may be used in the context of e-mail to automatically format the contents of new test in the e-mail message.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This element specifies that the parent style, when in use in the context of an e-mail message, may be used by default to format existing message text within the e-mail message when a new reply is generated. [Note: This setting does not provide any additional semantic about the style, but may be used in the context of e-mail to automatically format the contents of existing test in the e-mail message.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This element specifies whether this style shall be treated as a primary style when this document is loaded by an application. If this element is set, then this style has been designated as being particularly important for the current document, and this information may be used by an application in any means desired. [Note: This setting does not imply any behavior for the style, only that the style is of particular significance for this document. end note]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This element specifies whether this style shall be hidden from the main user interface when this document is loaded by an application. If this element is set, then this style may be used to format content (i.e. any content which references this style shall have its properties as normal), but the style shall be hidden from the main user interface associated with that application.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This element specifies a number which may be used to sort the set of style definitions in a user interface when this document is loaded by an application and the recommended setting is specified in the stylePaneSortMethod element (§2.15.1.87). If this element is set, then this priority shall be used to sort all available styles in ascending value 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This element specifies whether the semiHidden property (§2.7.3.16) shall be removed when this style is used by the content of the document. If this element is set, then an application shall ensure that even if the semiHidden element is specified on a style, that this property is removed when the document is resaved if the style is referenced by any content in the document.</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0" w:id="240"/>
      <w:r>
        <w:rPr>
          <w:rFonts w:hint="eastAsia"/>
          <w:b/>
        </w:rPr>
        <w:t>GetPrevTextBox(p);</w:t>
      </w:r>
      <w:bookmarkEnd w:id="240"/>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1" w:id="241"/>
      <w:r>
        <w:rPr>
          <w:rFonts w:hint="eastAsia"/>
          <w:b/>
        </w:rPr>
        <w:t>GetNextTextBox(p);</w:t>
      </w:r>
      <w:bookmarkEnd w:id="241"/>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2" w:id="242"/>
      <w:r>
        <w:rPr>
          <w:rFonts w:hint="eastAsia"/>
          <w:b/>
        </w:rPr>
        <w:t>报告模板（docx.ExecInnerTSL()）</w:t>
      </w:r>
      <w:bookmarkEnd w:id="242"/>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3" w:id="243"/>
      <w:r>
        <w:rPr>
          <w:rFonts w:hint="eastAsia"/>
          <w:b/>
        </w:rPr>
        <w:t>附注一：内置对象</w:t>
      </w:r>
      <w:bookmarkEnd w:id="243"/>
    </w:p>
    <w:p>
      <w:pPr>
        <w:pStyle w:val="Heading2"/>
        <w:numPr>
          <w:ilvl w:val="1"/>
          <w:numId w:val="1"/>
        </w:numPr>
        <w:ind w:firstLineChars="0" w:leftChars="0" w:left="850" w:hanging="453"/>
        <w:rPr>
          <w:rFonts w:hint="eastAsia"/>
          <w:b/>
        </w:rPr>
      </w:pPr>
      <w:bookmarkStart w:name="_Toc244" w:id="244"/>
      <w:r>
        <w:rPr>
          <w:rFonts w:hint="eastAsia"/>
          <w:b/>
        </w:rPr>
        <w:t>TwShading对象：表头底纹</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45" w:id="245"/>
      <w:r>
        <w:rPr>
          <w:rFonts w:hint="eastAsia"/>
          <w:b/>
        </w:rPr>
        <w:t>TwTblBorders对象：表格边框属性</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TTblCellMar对象：单元格边距设置</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47" w:id="247"/>
      <w:r>
        <w:rPr>
          <w:rFonts w:hint="eastAsia"/>
          <w:b/>
        </w:rPr>
        <w:t>TwTblpPr对象：浮动表设置</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48" w:id="248"/>
      <w:r>
        <w:rPr>
          <w:rFonts w:hint="eastAsia"/>
          <w:b/>
        </w:rPr>
        <w:t>TCols对象：Column Definitions</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49" w:id="249"/>
      <w:r>
        <w:rPr>
          <w:rFonts w:hint="eastAsia"/>
          <w:b/>
        </w:rPr>
        <w:t>TDocGrid对象：Document Grid</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Document Grid Type</w:t>
            </w:r>
          </w:p>
        </w:tc>
      </w:tr>
    </w:tbl>
    <w:p>
      <w:pPr>
        <w:pStyle w:val="Heading2"/>
        <w:numPr>
          <w:ilvl w:val="1"/>
          <w:numId w:val="1"/>
        </w:numPr>
        <w:ind w:firstLineChars="0" w:leftChars="0" w:left="850" w:hanging="453"/>
        <w:rPr>
          <w:rFonts w:hint="eastAsia"/>
          <w:b/>
        </w:rPr>
      </w:pPr>
      <w:bookmarkStart w:name="_Toc250" w:id="250"/>
      <w:r>
        <w:rPr>
          <w:rFonts w:hint="eastAsia"/>
          <w:b/>
        </w:rPr>
        <w:t>TPageMargin对象：Page Margin设置</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51" w:id="251"/>
      <w:r>
        <w:rPr>
          <w:rFonts w:hint="eastAsia"/>
          <w:b/>
        </w:rPr>
        <w:t>TPage对象：页面设置</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Specifies the orientation of all pages in this section.</w:t>
            </w:r>
          </w:p>
        </w:tc>
      </w:tr>
    </w:tbl>
    <w:p>
      <w:pPr>
        <w:pStyle w:val="Heading2"/>
        <w:numPr>
          <w:ilvl w:val="1"/>
          <w:numId w:val="1"/>
        </w:numPr>
        <w:ind w:firstLineChars="0" w:leftChars="0" w:left="850" w:hanging="453"/>
        <w:rPr>
          <w:rFonts w:hint="eastAsia"/>
          <w:b/>
        </w:rPr>
      </w:pPr>
      <w:bookmarkStart w:name="_Toc252" w:id="252"/>
      <w:r>
        <w:rPr>
          <w:rFonts w:hint="eastAsia"/>
          <w:b/>
        </w:rPr>
        <w:t>TPageBorders对象：页面边框属性</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3" w:id="253"/>
      <w:r>
        <w:rPr>
          <w:rFonts w:hint="eastAsia"/>
          <w:b/>
        </w:rPr>
        <w:t>TtblStylePr对象：表格样式</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4" w:id="254"/>
      <w:r>
        <w:rPr>
          <w:rFonts w:hint="eastAsia"/>
          <w:b/>
        </w:rPr>
        <w:t>TwpPr对象：段落格式</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5" w:id="255"/>
      <w:r>
        <w:rPr>
          <w:rFonts w:hint="eastAsia"/>
          <w:b/>
        </w:rPr>
        <w:t>TwrPr对象：字体属性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256" w:id="256"/>
      <w:r>
        <w:rPr>
          <w:rFonts w:hint="eastAsia"/>
          <w:b/>
        </w:rPr>
        <w:t>TwTrPr对象：表格行属性</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7" w:id="257"/>
      <w:r>
        <w:rPr>
          <w:rFonts w:hint="eastAsia"/>
          <w:b/>
        </w:rPr>
        <w:t>TwTblPr对象：表格样式</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58" w:id="258"/>
      <w:r>
        <w:rPr>
          <w:rFonts w:hint="eastAsia"/>
          <w:b/>
        </w:rPr>
        <w:t>TwTcPr对象：单元格样式</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59" w:id="259"/>
      <w:r>
        <w:rPr>
          <w:rFonts w:hint="eastAsia"/>
          <w:b/>
        </w:rPr>
        <w:t>TLevel对象：编号级别的外观和行为</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0" w:id="260"/>
      <w:r>
        <w:rPr>
          <w:rFonts w:hint="eastAsia"/>
          <w:b/>
        </w:rPr>
        <w:t>TwBorder对象：边框属性</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Specifies the shade value applied to the supplied theme color (if any) for this border instance.</w:t>
            </w:r>
          </w:p>
        </w:tc>
      </w:tr>
    </w:tbl>
    <w:p>
      <w:pPr>
        <w:pStyle w:val="Heading2"/>
        <w:numPr>
          <w:ilvl w:val="1"/>
          <w:numId w:val="1"/>
        </w:numPr>
        <w:ind w:firstLineChars="0" w:leftChars="0" w:left="850" w:hanging="453"/>
        <w:rPr>
          <w:rFonts w:hint="eastAsia"/>
          <w:b/>
        </w:rPr>
      </w:pPr>
      <w:bookmarkStart w:name="_Toc261" w:id="261"/>
      <w:r>
        <w:rPr>
          <w:rFonts w:hint="eastAsia"/>
          <w:b/>
        </w:rPr>
        <w:t>TNumPr对象：项目编号、数字编号</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2" w:id="262"/>
      <w:r>
        <w:rPr>
          <w:rFonts w:hint="eastAsia"/>
          <w:b/>
        </w:rPr>
        <w:t>TpBdr对象：文字边框</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3" w:id="263"/>
      <w:r>
        <w:rPr>
          <w:rFonts w:hint="eastAsia"/>
          <w:b/>
        </w:rPr>
        <w:t>附注二：FAQ</w:t>
      </w:r>
      <w:bookmarkEnd w:id="263"/>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TOfficeApi().CodePage('中文');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p>
      <w:pPr>
        <w:numPr>
          <w:ilvl w:val="0"/>
          <w:numId w:val="9"/>
        </w:numPr>
        <w:ind w:left="500"/>
        <w:rPr>
          <w:b/>
          <w:color w:val="FF0000"/>
          <w:sz w:val="28"/>
        </w:rPr>
      </w:pPr>
      <w:r>
        <w:rPr>
          <w:b/>
          <w:color w:val="FF0000"/>
          <w:sz w:val="28"/>
        </w:rPr>
        <w:t xml:space="preserve">报告模板功能（TDocxFile::ExecInnerTSL）中，Word中执行[TSL]...[/TSL]时的字符集是啥？ </w:t>
      </w:r>
    </w:p>
    <w:p>
      <w:pPr>
        <w:ind w:left="880" w:hanging="300"/>
      </w:pPr>
      <w:r>
        <w:rPr/>
        <w:t xml:space="preserve">  是GBK。</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w:t>
      </w:r>
    </w:p>
    <w:p>
      <w:pPr>
        <w:ind w:left="880" w:hanging="300"/>
      </w:pPr>
      <w:r>
        <w:rPr/>
        <w:t xml:space="preserve">  1.5倍行距、默认5号字体、宋体。</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w:t>
      </w:r>
    </w:p>
    <w:p>
      <w:pPr>
        <w:ind w:left="880" w:hanging="300"/>
      </w:pPr>
      <w:r>
        <w:rPr/>
        <w:t xml:space="preserve"> ★用户可以利用word（或wps）生成自己想要格式的空文档，调用TDocxFile::OpenFile()打开即可。</w:t>
      </w:r>
    </w:p>
    <w:p>
      <w:pPr>
        <w:ind w:left="880" w:hanging="300"/>
      </w:pPr>
      <w:r>
        <w:rPr/>
        <w:t xml:space="preserve"> ★用户甚至可以设计好文档封面、目录、页脚、页眉，再调用TDocxFile::OpenFile()打开。</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1-31T17:21:12Z" w:id="0">
    <w:p>
      <w:r>
        <w:t>深圳市天软科技开发有限公司</w:t>
      </w:r>
    </w:p>
  </w:comment>
  <w:comment w:author="Tinysoft" w:date="2023-01-31T17:21:12Z" w:id="1">
    <w:p>
      <w:r>
        <w:t>嵌套批注：Tinysoft</w:t>
      </w:r>
    </w:p>
  </w:comment>
  <w:comment w:author="Tinysoft" w:date="2023-01-31T17:21:12Z" w:id="2">
    <w:p>
      <w:r>
        <w:t>2层嵌套批注Tiny</w:t>
      </w:r>
    </w:p>
  </w:comment>
  <w:comment w:author="Tinysoft" w:date="2023-01-31T17:21:12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