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2023-01-17 16:28:45</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rPr>
                <w:lang w:eastAsia="zh-CN" w:val="en-US"/>
              </w:rPr>
              <w:jc w:val="center"/>
            </w:pPr>
            <w:r>
              <w:rPr>
                <w:lang w:eastAsia="zh-CN" w:val="en-US"/>
              </w:rPr>
              <w:t/>
            </w:r>
          </w:p>
        </w:tc>
      </w:tr>
    </w:tbl>
    <w:p>
      <w:r>
        <w:br w:type="page"/>
      </w:r>
    </w:p>
    <w:sdt>
      <w:sdtPr>
        <w:rPr>
          <w:rFonts w:eastAsia="宋体" w:hAnsi="宋体" w:ascii="宋体" w:csTheme="minorBidi"/>
          <w:color w:val="DBDBDB"/>
          <w:sz w:val="21"/>
          <w:szCs w:val="24"/>
          <w:lang w:eastAsia="zh-CN" w:val="en-US" w:bidi="ar-SA"/>
        </w:rPr>
        <w:id w:val="59349"/>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3"/>
          <w:bookmarkEnd w:id="263"/>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vAlign w:val="center"/>
          </w:tcPr>
          <w:p>
            <w:pPr>
              <w:rPr>
                <w:lang w:eastAsia="zh-CN" w:val="en-US"/>
              </w:rPr>
            </w:pPr>
            <w:r>
              <w:rPr>
                <w:lang w:eastAsia="zh-CN" w:val="en-US"/>
              </w:rPr>
              <w:t>缺省w:r元素</w:t>
            </w:r>
          </w:p>
        </w:tc>
        <w:tc>
          <w:tcPr>
            <w:tcW w:w="2100" w:type="dxa"/>
          </w:tcPr>
          <w:p>
            <w:pPr>
              <w:rPr>
                <w:lang w:eastAsia="zh-CN" w:val="en-US"/>
              </w:rPr>
            </w:pPr>
            <w:r>
              <w:rPr>
                <w:lang w:eastAsia="zh-CN" w:val="en-US"/>
              </w:rPr>
              <w:t>Run</w:t>
            </w:r>
          </w:p>
        </w:tc>
        <w:tc>
          <w:tcPr>
            <w:tcW w:w="6000" w:type="dxa"/>
          </w:tcPr>
          <w:p>
            <w:pPr>
              <w:rPr>
                <w:lang w:eastAsia="zh-CN" w:val="en-US"/>
              </w:rPr>
            </w:pPr>
            <w:r>
              <w:rPr>
                <w:lang w:eastAsia="zh-CN" w:val="en-US"/>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vAlign w:val="center"/>
          </w:tcPr>
          <w:p>
            <w:pPr>
              <w:rPr>
                <w:lang w:eastAsia="zh-CN" w:val="en-US"/>
              </w:rPr>
            </w:pPr>
            <w:r>
              <w:rPr>
                <w:lang w:eastAsia="zh-CN" w:val="en-US"/>
              </w:rPr>
              <w:t>段落属性</w:t>
            </w:r>
          </w:p>
        </w:tc>
        <w:tc>
          <w:tcPr>
            <w:tcW w:w="2100" w:type="dxa"/>
          </w:tcPr>
          <w:p>
            <w:pPr>
              <w:rPr>
                <w:lang w:eastAsia="zh-CN" w:val="en-US"/>
              </w:rPr>
            </w:pPr>
            <w:r>
              <w:rPr>
                <w:lang w:eastAsia="zh-CN" w:val="en-US"/>
              </w:rPr>
              <w:t>Format</w:t>
            </w:r>
          </w:p>
        </w:tc>
        <w:tc>
          <w:tcPr>
            <w:tcW w:w="6000" w:type="dxa"/>
          </w:tcPr>
          <w:p>
            <w:pPr>
              <w:rPr>
                <w:lang w:eastAsia="zh-CN" w:val="en-US"/>
              </w:rPr>
            </w:pPr>
            <w:r>
              <w:rPr>
                <w:lang w:eastAsia="zh-CN" w:val="en-US"/>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vAlign w:val="center"/>
          </w:tcPr>
          <w:p>
            <w:pPr>
              <w:rPr>
                <w:lang w:eastAsia="zh-CN" w:val="en-US"/>
              </w:rPr>
            </w:pPr>
            <w:r>
              <w:rPr>
                <w:lang w:eastAsia="zh-CN" w:val="en-US"/>
              </w:rPr>
              <w:t>字体属性</w:t>
            </w:r>
          </w:p>
        </w:tc>
        <w:tc>
          <w:tcPr>
            <w:tcW w:w="2100" w:type="dxa"/>
          </w:tcPr>
          <w:p>
            <w:pPr>
              <w:rPr>
                <w:lang w:eastAsia="zh-CN" w:val="en-US"/>
              </w:rPr>
            </w:pPr>
            <w:r>
              <w:rPr>
                <w:lang w:eastAsia="zh-CN" w:val="en-US"/>
              </w:rPr>
              <w:t>Font</w:t>
            </w:r>
          </w:p>
        </w:tc>
        <w:tc>
          <w:tcPr>
            <w:tcW w:w="6000" w:type="dxa"/>
          </w:tcPr>
          <w:p>
            <w:pPr>
              <w:rPr>
                <w:lang w:eastAsia="zh-CN" w:val="en-US"/>
              </w:rPr>
            </w:pPr>
            <w:r>
              <w:rPr>
                <w:lang w:eastAsia="zh-CN" w:val="en-US"/>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TTabStop属性</w:t>
            </w: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Position</w:t>
            </w:r>
          </w:p>
        </w:tc>
        <w:tc>
          <w:tcPr>
            <w:tcW w:w="6000" w:type="dxa"/>
          </w:tcPr>
          <w:p>
            <w:pPr>
              <w:rPr>
                <w:lang w:eastAsia="zh-CN" w:val="en-US"/>
              </w:rPr>
            </w:pPr>
            <w:r>
              <w:rPr>
                <w:lang w:eastAsia="zh-CN" w:val="en-US"/>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表格属性</w:t>
            </w:r>
          </w:p>
        </w:tc>
        <w:tc>
          <w:tcPr>
            <w:tcW w:w="2100" w:type="dxa"/>
          </w:tcPr>
          <w:p>
            <w:pPr>
              <w:rPr>
                <w:lang w:eastAsia="zh-CN" w:val="en-US"/>
              </w:rPr>
            </w:pPr>
            <w:r>
              <w:rPr>
                <w:lang w:eastAsia="zh-CN" w:val="en-US"/>
              </w:rPr>
              <w:t>Format.StyleID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Format.Width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Format.WidthType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Format.Val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Format.NoVBand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Format.NoHBand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Format.LastRow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Format.LastColumn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Format.FirstRow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Format.FirstColumn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Format.bidiVisual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Format.Alignment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Format.Indent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Format.IndentType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Format.Autofit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Format.Overlap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Format.tblpPr</w:t>
            </w:r>
          </w:p>
        </w:tc>
        <w:tc>
          <w:tcPr>
            <w:tcW w:w="6000" w:type="dxa"/>
          </w:tcPr>
          <w:p>
            <w:pPr>
              <w:rPr>
                <w:lang w:eastAsia="zh-CN" w:val="en-US"/>
              </w:rPr>
            </w:pPr>
            <w:r>
              <w:rPr>
                <w:lang w:eastAsia="zh-CN" w:val="en-US"/>
              </w:rPr>
              <w:t>表格样式(TwTblpPr对象)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restart"/>
            <w:vAlign w:val="center"/>
          </w:tcPr>
          <w:p>
            <w:pPr>
              <w:rPr>
                <w:lang w:eastAsia="zh-CN" w:val="en-US"/>
              </w:rPr>
            </w:pPr>
            <w:r>
              <w:rPr>
                <w:lang w:eastAsia="zh-CN" w:val="en-US"/>
              </w:rPr>
              <w:t>表格扩展属性</w:t>
            </w:r>
          </w:p>
        </w:tc>
        <w:tc>
          <w:tcPr>
            <w:tcW w:w="2100" w:type="dxa"/>
          </w:tcPr>
          <w:p>
            <w:pPr>
              <w:rPr>
                <w:lang w:eastAsia="zh-CN" w:val="en-US"/>
              </w:rPr>
            </w:pPr>
            <w:r>
              <w:rPr>
                <w:lang w:eastAsia="zh-CN" w:val="en-US"/>
              </w:rPr>
              <w:t>FormatEx.bottomFromText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FormatEx.horizAnchor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FormatEx.leftFromText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FormatEx.rightFromText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24</w:t>
            </w:r>
          </w:p>
        </w:tc>
        <w:tc>
          <w:tcPr>
            <w:tcW w:w="2100" w:type="dxa"/>
            <w:gridSpan w:val="1"/>
            <w:vMerge w:val="continue"/>
          </w:tcPr>
          <w:p/>
        </w:tc>
        <w:tc>
          <w:tcPr>
            <w:tcW w:w="2100" w:type="dxa"/>
          </w:tcPr>
          <w:p>
            <w:pPr>
              <w:rPr>
                <w:lang w:eastAsia="zh-CN" w:val="en-US"/>
              </w:rPr>
            </w:pPr>
            <w:r>
              <w:rPr>
                <w:lang w:eastAsia="zh-CN" w:val="en-US"/>
              </w:rPr>
              <w:t>FormatEx.tblpX</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25</w:t>
            </w:r>
          </w:p>
        </w:tc>
        <w:tc>
          <w:tcPr>
            <w:tcW w:w="2100" w:type="dxa"/>
            <w:gridSpan w:val="1"/>
            <w:vMerge w:val="continue"/>
          </w:tcPr>
          <w:p/>
        </w:tc>
        <w:tc>
          <w:tcPr>
            <w:tcW w:w="2100" w:type="dxa"/>
          </w:tcPr>
          <w:p>
            <w:pPr>
              <w:rPr>
                <w:lang w:eastAsia="zh-CN" w:val="en-US"/>
              </w:rPr>
            </w:pPr>
            <w:r>
              <w:rPr>
                <w:lang w:eastAsia="zh-CN" w:val="en-US"/>
              </w:rPr>
              <w:t>FormatEx.tblpXSpec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26</w:t>
            </w:r>
          </w:p>
        </w:tc>
        <w:tc>
          <w:tcPr>
            <w:tcW w:w="2100" w:type="dxa"/>
            <w:gridSpan w:val="1"/>
            <w:vMerge w:val="continue"/>
          </w:tcPr>
          <w:p/>
        </w:tc>
        <w:tc>
          <w:tcPr>
            <w:tcW w:w="2100" w:type="dxa"/>
          </w:tcPr>
          <w:p>
            <w:pPr>
              <w:rPr>
                <w:lang w:eastAsia="zh-CN" w:val="en-US"/>
              </w:rPr>
            </w:pPr>
            <w:r>
              <w:rPr>
                <w:lang w:eastAsia="zh-CN" w:val="en-US"/>
              </w:rPr>
              <w:t>FormatEx.tblpY</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27</w:t>
            </w:r>
          </w:p>
        </w:tc>
        <w:tc>
          <w:tcPr>
            <w:tcW w:w="2100" w:type="dxa"/>
            <w:gridSpan w:val="1"/>
            <w:vMerge w:val="continue"/>
          </w:tcPr>
          <w:p/>
        </w:tc>
        <w:tc>
          <w:tcPr>
            <w:tcW w:w="2100" w:type="dxa"/>
          </w:tcPr>
          <w:p>
            <w:pPr>
              <w:rPr>
                <w:lang w:eastAsia="zh-CN" w:val="en-US"/>
              </w:rPr>
            </w:pPr>
            <w:r>
              <w:rPr>
                <w:lang w:eastAsia="zh-CN" w:val="en-US"/>
              </w:rPr>
              <w:t>FormatEx.tblpYSpec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28</w:t>
            </w:r>
          </w:p>
        </w:tc>
        <w:tc>
          <w:tcPr>
            <w:tcW w:w="2100" w:type="dxa"/>
            <w:gridSpan w:val="1"/>
            <w:vMerge w:val="continue"/>
          </w:tcPr>
          <w:p/>
        </w:tc>
        <w:tc>
          <w:tcPr>
            <w:tcW w:w="2100" w:type="dxa"/>
          </w:tcPr>
          <w:p>
            <w:pPr>
              <w:rPr>
                <w:lang w:eastAsia="zh-CN" w:val="en-US"/>
              </w:rPr>
            </w:pPr>
            <w:r>
              <w:rPr>
                <w:lang w:eastAsia="zh-CN" w:val="en-US"/>
              </w:rPr>
              <w:t>FormatEx.topFromText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29</w:t>
            </w:r>
          </w:p>
        </w:tc>
        <w:tc>
          <w:tcPr>
            <w:tcW w:w="2100" w:type="dxa"/>
            <w:gridSpan w:val="1"/>
            <w:vMerge w:val="continue"/>
          </w:tcPr>
          <w:p/>
        </w:tc>
        <w:tc>
          <w:tcPr>
            <w:tcW w:w="2100" w:type="dxa"/>
          </w:tcPr>
          <w:p>
            <w:pPr>
              <w:rPr>
                <w:lang w:eastAsia="zh-CN" w:val="en-US"/>
              </w:rPr>
            </w:pPr>
            <w:r>
              <w:rPr>
                <w:lang w:eastAsia="zh-CN" w:val="en-US"/>
              </w:rPr>
              <w:t>FormatEx.vertAnchor</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单元格属性</w:t>
            </w:r>
          </w:p>
        </w:tc>
        <w:tc>
          <w:tcPr>
            <w:tcW w:w="2100" w:type="dxa"/>
          </w:tcPr>
          <w:p>
            <w:pPr>
              <w:rPr>
                <w:lang w:eastAsia="zh-CN" w:val="en-US"/>
              </w:rPr>
            </w:pPr>
            <w:r>
              <w:rPr>
                <w:lang w:eastAsia="zh-CN" w:val="en-US"/>
              </w:rPr>
              <w:t>Format.Width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Format.Type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Format.cnfStyle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Format.gridSpan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Format.hideMark</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Format.hmerge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Format.noWrap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Format.tcFitText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Format.textDirection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Format.cellMerge</w:t>
            </w:r>
          </w:p>
        </w:tc>
        <w:tc>
          <w:tcPr>
            <w:tcW w:w="6000" w:type="dxa"/>
          </w:tcPr>
          <w:p>
            <w:pPr>
              <w:rPr>
                <w:lang w:eastAsia="zh-CN" w:val="en-US"/>
              </w:rPr>
            </w:pPr>
            <w:r>
              <w:rPr>
                <w:lang w:eastAsia="zh-CN" w:val="en-US"/>
              </w:rPr>
              <w:t>单元格属性(TcellMerge对象)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Format.vAlign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Format.vmerge</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w:t>
      </w:r>
      <w:bookmarkEnd w:id="108"/>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图片信息</w:t>
            </w:r>
          </w:p>
        </w:tc>
        <w:tc>
          <w:tcPr>
            <w:tcW w:w="21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批注ID</w:t>
            </w:r>
          </w:p>
        </w:tc>
        <w:tc>
          <w:tcPr>
            <w:tcW w:w="2768"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3</w:t>
            </w:r>
          </w:p>
        </w:tc>
        <w:tc>
          <w:tcPr>
            <w:tcW w:w="2768" w:type="dxa"/>
          </w:tcPr>
          <w:p>
            <w:pPr>
              <w:rPr>
                <w:lang w:eastAsia="zh-CN" w:val="en-US"/>
              </w:rPr>
            </w:pPr>
            <w:r>
              <w:rPr>
                <w:lang w:eastAsia="zh-CN" w:val="en-US"/>
              </w:rPr>
              <w:t>3</w:t>
            </w:r>
          </w:p>
        </w:tc>
        <w:tc>
          <w:tcPr>
            <w:tcW w:w="2768"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批注ID</w:t>
            </w:r>
          </w:p>
        </w:tc>
        <w:tc>
          <w:tcPr>
            <w:tcW w:w="2768"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1-17T16:28:56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1-17T16:28:56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Act</w:t>
            </w:r>
          </w:p>
        </w:tc>
        <w:tc>
          <w:tcPr>
            <w:tcW w:w="2768"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ins</w:t>
            </w:r>
          </w:p>
        </w:tc>
        <w:tc>
          <w:tcPr>
            <w:tcW w:w="2768"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del</w:t>
            </w:r>
          </w:p>
        </w:tc>
        <w:tc>
          <w:tcPr>
            <w:tcW w:w="2768"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titlePg</w:t>
            </w:r>
          </w:p>
        </w:tc>
        <w:tc>
          <w:tcPr>
            <w:tcW w:w="6000" w:type="dxa"/>
          </w:tcPr>
          <w:p>
            <w:pPr>
              <w:rPr>
                <w:lang w:eastAsia="zh-CN" w:val="en-US"/>
              </w:rPr>
            </w:pPr>
            <w:r>
              <w:rPr>
                <w:lang w:eastAsia="zh-CN" w:val="en-US"/>
              </w:rPr>
              <w:t>This element specifies whether the parent section in this document shall have a different header and footer for its first page.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vAlign</w:t>
            </w:r>
          </w:p>
        </w:tc>
        <w:tc>
          <w:tcPr>
            <w:tcW w:w="6000" w:type="dxa"/>
          </w:tcPr>
          <w:p>
            <w:pPr>
              <w:rPr>
                <w:lang w:eastAsia="zh-CN" w:val="en-US"/>
              </w:rPr>
            </w:pPr>
            <w:r>
              <w:rPr>
                <w:lang w:eastAsia="zh-CN" w:val="en-US"/>
              </w:rPr>
              <w:t>This element specifies the vertical alignment for text on pages in the current section, relative to the top and bottom margins in the main document story on each page.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This element specifies the type of the current section. The section type specifies how the contents of the current section shall be placed relative to the previous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textDirection</w:t>
            </w:r>
          </w:p>
        </w:tc>
        <w:tc>
          <w:tcPr>
            <w:tcW w:w="6000" w:type="dxa"/>
          </w:tcPr>
          <w:p>
            <w:pPr>
              <w:rPr>
                <w:lang w:eastAsia="zh-CN" w:val="en-US"/>
              </w:rPr>
            </w:pPr>
            <w:r>
              <w:rPr>
                <w:lang w:eastAsia="zh-CN" w:val="en-US"/>
              </w:rPr>
              <w:t>This element specifies the direction of the text flow for this section.</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w:t>
      </w:r>
      <w:bookmarkEnd w:id="16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AddDefaultStyle(path, Name);</w:t>
      </w:r>
      <w:bookmarkEnd w:id="198"/>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样式</w:t>
            </w:r>
          </w:p>
        </w:tc>
        <w:tc>
          <w:tcPr>
            <w:tcW w:w="2100" w:type="dxa"/>
          </w:tcPr>
          <w:p>
            <w:pPr>
              <w:rPr>
                <w:lang w:eastAsia="zh-CN" w:val="en-US"/>
              </w:rPr>
            </w:pPr>
            <w:r>
              <w:rPr>
                <w:lang w:eastAsia="zh-CN" w:val="en-US"/>
              </w:rPr>
              <w:t>StyleID</w:t>
            </w:r>
          </w:p>
        </w:tc>
        <w:tc>
          <w:tcPr>
            <w:tcW w:w="6000" w:type="dxa"/>
          </w:tcPr>
          <w:p>
            <w:pPr>
              <w:rPr>
                <w:lang w:eastAsia="zh-CN" w:val="en-US"/>
              </w:rPr>
            </w:pPr>
            <w:r>
              <w:rPr>
                <w:lang w:eastAsia="zh-CN" w:val="en-US"/>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Default</w:t>
            </w:r>
          </w:p>
        </w:tc>
        <w:tc>
          <w:tcPr>
            <w:tcW w:w="6000" w:type="dxa"/>
          </w:tcPr>
          <w:p>
            <w:pPr>
              <w:rPr>
                <w:lang w:eastAsia="zh-CN" w:val="en-US"/>
              </w:rPr>
            </w:pPr>
            <w:r>
              <w:rPr>
                <w:lang w:eastAsia="zh-CN" w:val="en-US"/>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wType</w:t>
            </w:r>
          </w:p>
        </w:tc>
        <w:tc>
          <w:tcPr>
            <w:tcW w:w="6000" w:type="dxa"/>
          </w:tcPr>
          <w:p>
            <w:pPr>
              <w:rPr>
                <w:lang w:eastAsia="zh-CN" w:val="en-US"/>
              </w:rPr>
            </w:pPr>
            <w:r>
              <w:rPr>
                <w:lang w:eastAsia="zh-CN" w:val="en-US"/>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Name</w:t>
            </w:r>
          </w:p>
        </w:tc>
        <w:tc>
          <w:tcPr>
            <w:tcW w:w="6000" w:type="dxa"/>
          </w:tcPr>
          <w:p>
            <w:pPr>
              <w:rPr>
                <w:lang w:eastAsia="zh-CN" w:val="en-US"/>
              </w:rPr>
            </w:pPr>
            <w:r>
              <w:rPr>
                <w:lang w:eastAsia="zh-CN" w:val="en-US"/>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Aliases</w:t>
            </w:r>
          </w:p>
        </w:tc>
        <w:tc>
          <w:tcPr>
            <w:tcW w:w="6000" w:type="dxa"/>
          </w:tcPr>
          <w:p>
            <w:pPr>
              <w:rPr>
                <w:lang w:eastAsia="zh-CN" w:val="en-US"/>
              </w:rPr>
            </w:pPr>
            <w:r>
              <w:rPr>
                <w:lang w:eastAsia="zh-CN" w:val="en-US"/>
              </w:rPr>
              <w:t>This element specifies the set of alternative names for the parent style definition.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AutoRedefine</w:t>
            </w:r>
          </w:p>
        </w:tc>
        <w:tc>
          <w:tcPr>
            <w:tcW w:w="6000" w:type="dxa"/>
          </w:tcPr>
          <w:p>
            <w:pPr>
              <w:rPr>
                <w:lang w:eastAsia="zh-CN" w:val="en-US"/>
              </w:rPr>
            </w:pPr>
            <w:r>
              <w:rPr>
                <w:lang w:eastAsia="zh-CN" w:val="en-US"/>
              </w:rPr>
              <w:t>This element specifies whether an application shall automatically modify this style when the contents of an entire paragraph in the document with this style applied are modified, ensuring that although only a single instance of text with this style was modified, that change is stored on the style and therefore propagated to all locations where the style is in use.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BasedOn</w:t>
            </w:r>
          </w:p>
        </w:tc>
        <w:tc>
          <w:tcPr>
            <w:tcW w:w="6000" w:type="dxa"/>
          </w:tcPr>
          <w:p>
            <w:pPr>
              <w:rPr>
                <w:lang w:eastAsia="zh-CN" w:val="en-US"/>
              </w:rPr>
            </w:pPr>
            <w:r>
              <w:rPr>
                <w:lang w:eastAsia="zh-CN" w:val="en-US"/>
              </w:rPr>
              <w:t>This element specifies the style ID of the parent style from which this style inherits in the style inheritance. The style inheritance refers to a set of styles which inherit from one another to produce the resulting set of properties for a single style. The val attribute of this element specifies the styleId attribute for the parent style in the style inheritance.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Hidden</w:t>
            </w:r>
          </w:p>
        </w:tc>
        <w:tc>
          <w:tcPr>
            <w:tcW w:w="6000" w:type="dxa"/>
          </w:tcPr>
          <w:p>
            <w:pPr>
              <w:rPr>
                <w:lang w:eastAsia="zh-CN" w:val="en-US"/>
              </w:rPr>
            </w:pPr>
            <w:r>
              <w:rPr>
                <w:lang w:eastAsia="zh-CN" w:val="en-US"/>
              </w:rPr>
              <w:t>This element specifies whether this style shall be hidden from any and all user interfaces when this document is loaded by an application. If this element is set, then this style may be used to format content (i.e. any content which references this style shall have its properties as normal), but the style shall be hidden from all user interface associated with that application. [Note: This setting is typically used to hide styles which are being used internally by an application which should not be used as formatting in a typical case.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Link</w:t>
            </w:r>
          </w:p>
        </w:tc>
        <w:tc>
          <w:tcPr>
            <w:tcW w:w="6000" w:type="dxa"/>
          </w:tcPr>
          <w:p>
            <w:pPr>
              <w:rPr>
                <w:lang w:eastAsia="zh-CN" w:val="en-US"/>
              </w:rPr>
            </w:pPr>
            <w:r>
              <w:rPr>
                <w:lang w:eastAsia="zh-CN" w:val="en-US"/>
              </w:rPr>
              <w:t>Linked Style Reference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Locked</w:t>
            </w:r>
          </w:p>
        </w:tc>
        <w:tc>
          <w:tcPr>
            <w:tcW w:w="6000" w:type="dxa"/>
          </w:tcPr>
          <w:p>
            <w:pPr>
              <w:rPr>
                <w:lang w:eastAsia="zh-CN" w:val="en-US"/>
              </w:rPr>
            </w:pPr>
            <w:r>
              <w:rPr>
                <w:lang w:eastAsia="zh-CN" w:val="en-US"/>
              </w:rPr>
              <w:t>This element specifies whether an application shall prevent the use of this style when this document is loaded and/or modified. If this element is set, then this style may be used to format existing content (i.e. any content which references this style shall have its properties as normal), but new instances of the style shall be prevented from being applied via all mechanisms associated with that application.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Next</w:t>
            </w:r>
          </w:p>
        </w:tc>
        <w:tc>
          <w:tcPr>
            <w:tcW w:w="6000" w:type="dxa"/>
          </w:tcPr>
          <w:p>
            <w:pPr>
              <w:rPr>
                <w:lang w:eastAsia="zh-CN" w:val="en-US"/>
              </w:rPr>
            </w:pPr>
            <w:r>
              <w:rPr>
                <w:lang w:eastAsia="zh-CN" w:val="en-US"/>
              </w:rPr>
              <w:t>Style For Next Paragraph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Personal</w:t>
            </w:r>
          </w:p>
        </w:tc>
        <w:tc>
          <w:tcPr>
            <w:tcW w:w="6000" w:type="dxa"/>
          </w:tcPr>
          <w:p>
            <w:pPr>
              <w:rPr>
                <w:lang w:eastAsia="zh-CN" w:val="en-US"/>
              </w:rPr>
            </w:pPr>
            <w:r>
              <w:rPr>
                <w:lang w:eastAsia="zh-CN" w:val="en-US"/>
              </w:rPr>
              <w:t>This element specifies that the parent style, when in use in the context of an e-mail message, was used by default to format all message text from one or more users. [Note: This setting does not provide any additional semantic about the style, but may be used in the context of e-mail to automatically reformat the contents of the e-mail message while ignoring any content to which styles were deliberately applied (since this style was implicitly applied to message text without user interaction).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PersonalCompose</w:t>
            </w:r>
          </w:p>
        </w:tc>
        <w:tc>
          <w:tcPr>
            <w:tcW w:w="6000" w:type="dxa"/>
          </w:tcPr>
          <w:p>
            <w:pPr>
              <w:rPr>
                <w:lang w:eastAsia="zh-CN" w:val="en-US"/>
              </w:rPr>
            </w:pPr>
            <w:r>
              <w:rPr>
                <w:lang w:eastAsia="zh-CN" w:val="en-US"/>
              </w:rPr>
              <w:t>This element specifies that the parent style, when in use in the context of an e-mail message, may be used by default to format new message text within the e-mail message. [Note: This setting does not provide any additional semantic about the style, but may be used in the context of e-mail to automatically format the contents of new test in the e-mail message.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PersonalReply</w:t>
            </w:r>
          </w:p>
        </w:tc>
        <w:tc>
          <w:tcPr>
            <w:tcW w:w="6000" w:type="dxa"/>
          </w:tcPr>
          <w:p>
            <w:pPr>
              <w:rPr>
                <w:lang w:eastAsia="zh-CN" w:val="en-US"/>
              </w:rPr>
            </w:pPr>
            <w:r>
              <w:rPr>
                <w:lang w:eastAsia="zh-CN" w:val="en-US"/>
              </w:rPr>
              <w:t>This element specifies that the parent style, when in use in the context of an e-mail message, may be used by default to format existing message text within the e-mail message when a new reply is generated. [Note: This setting does not provide any additional semantic about the style, but may be used in the context of e-mail to automatically format the contents of existing test in the e-mail message.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QFormat</w:t>
            </w:r>
          </w:p>
        </w:tc>
        <w:tc>
          <w:tcPr>
            <w:tcW w:w="6000" w:type="dxa"/>
          </w:tcPr>
          <w:p>
            <w:pPr>
              <w:rPr>
                <w:lang w:eastAsia="zh-CN" w:val="en-US"/>
              </w:rPr>
            </w:pPr>
            <w:r>
              <w:rPr>
                <w:lang w:eastAsia="zh-CN" w:val="en-US"/>
              </w:rPr>
              <w:t>This element specifies whether this style shall be treated as a primary style when this document is loaded by an application. If this element is set, then this style has been designated as being particularly important for the current document, and this information may be used by an application in any means desired. [Note: This setting does not imply any behavior for the style, only that the style is of particular significance for this document.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TblStyle</w:t>
            </w:r>
          </w:p>
        </w:tc>
        <w:tc>
          <w:tcPr>
            <w:tcW w:w="6000" w:type="dxa"/>
          </w:tcPr>
          <w:p>
            <w:pPr>
              <w:rPr>
                <w:lang w:eastAsia="zh-CN" w:val="en-US"/>
              </w:rPr>
            </w:pPr>
            <w:r>
              <w:rPr>
                <w:lang w:eastAsia="zh-CN" w:val="en-US"/>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pPr</w:t>
            </w:r>
          </w:p>
        </w:tc>
        <w:tc>
          <w:tcPr>
            <w:tcW w:w="6000" w:type="dxa"/>
          </w:tcPr>
          <w:p>
            <w:pPr>
              <w:rPr>
                <w:lang w:eastAsia="zh-CN" w:val="en-US"/>
              </w:rPr>
            </w:pPr>
            <w:r>
              <w:rPr>
                <w:lang w:eastAsia="zh-CN" w:val="en-US"/>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rPr</w:t>
            </w:r>
          </w:p>
        </w:tc>
        <w:tc>
          <w:tcPr>
            <w:tcW w:w="6000" w:type="dxa"/>
          </w:tcPr>
          <w:p>
            <w:pPr>
              <w:rPr>
                <w:lang w:eastAsia="zh-CN" w:val="en-US"/>
              </w:rPr>
            </w:pPr>
            <w:r>
              <w:rPr>
                <w:lang w:eastAsia="zh-CN" w:val="en-US"/>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TrPr</w:t>
            </w:r>
          </w:p>
        </w:tc>
        <w:tc>
          <w:tcPr>
            <w:tcW w:w="6000" w:type="dxa"/>
          </w:tcPr>
          <w:p>
            <w:pPr>
              <w:rPr>
                <w:lang w:eastAsia="zh-CN" w:val="en-US"/>
              </w:rPr>
            </w:pPr>
            <w:r>
              <w:rPr>
                <w:lang w:eastAsia="zh-CN" w:val="en-US"/>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TblPr</w:t>
            </w:r>
          </w:p>
        </w:tc>
        <w:tc>
          <w:tcPr>
            <w:tcW w:w="6000" w:type="dxa"/>
          </w:tcPr>
          <w:p>
            <w:pPr>
              <w:rPr>
                <w:lang w:eastAsia="zh-CN" w:val="en-US"/>
              </w:rPr>
            </w:pPr>
            <w:r>
              <w:rPr>
                <w:lang w:eastAsia="zh-CN" w:val="en-US"/>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continue"/>
          </w:tcPr>
          <w:p/>
        </w:tc>
        <w:tc>
          <w:tcPr>
            <w:tcW w:w="2100" w:type="dxa"/>
          </w:tcPr>
          <w:p>
            <w:pPr>
              <w:rPr>
                <w:lang w:eastAsia="zh-CN" w:val="en-US"/>
              </w:rPr>
            </w:pPr>
            <w:r>
              <w:rPr>
                <w:lang w:eastAsia="zh-CN" w:val="en-US"/>
              </w:rPr>
              <w:t>TcPr</w:t>
            </w:r>
          </w:p>
        </w:tc>
        <w:tc>
          <w:tcPr>
            <w:tcW w:w="6000" w:type="dxa"/>
          </w:tcPr>
          <w:p>
            <w:pPr>
              <w:rPr>
                <w:lang w:eastAsia="zh-CN" w:val="en-US"/>
              </w:rPr>
            </w:pPr>
            <w:r>
              <w:rPr>
                <w:lang w:eastAsia="zh-CN" w:val="en-US"/>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SemiHidden</w:t>
            </w:r>
          </w:p>
        </w:tc>
        <w:tc>
          <w:tcPr>
            <w:tcW w:w="6000" w:type="dxa"/>
          </w:tcPr>
          <w:p>
            <w:pPr>
              <w:rPr>
                <w:lang w:eastAsia="zh-CN" w:val="en-US"/>
              </w:rPr>
            </w:pPr>
            <w:r>
              <w:rPr>
                <w:lang w:eastAsia="zh-CN" w:val="en-US"/>
              </w:rPr>
              <w:t>This element specifies whether this style shall be hidden from the main user interface when this document is loaded by an application. If this element is set, then this style may be used to format content (i.e. any content which references this style shall have its properties as normal), but the style shall be hidden from the main user interface associated with that application.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UiPriority</w:t>
            </w:r>
          </w:p>
        </w:tc>
        <w:tc>
          <w:tcPr>
            <w:tcW w:w="6000" w:type="dxa"/>
          </w:tcPr>
          <w:p>
            <w:pPr>
              <w:rPr>
                <w:lang w:eastAsia="zh-CN" w:val="en-US"/>
              </w:rPr>
            </w:pPr>
            <w:r>
              <w:rPr>
                <w:lang w:eastAsia="zh-CN" w:val="en-US"/>
              </w:rPr>
              <w:t>This element specifies a number which may be used to sort the set of style definitions in a user interface when this document is loaded by an application and the recommended setting is specified in the stylePaneSortMethod element (§2.15.1.87). If this element is set, then this priority shall be used to sort all available styles in ascending value 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UnhideWhenUsed</w:t>
            </w:r>
          </w:p>
        </w:tc>
        <w:tc>
          <w:tcPr>
            <w:tcW w:w="6000" w:type="dxa"/>
          </w:tcPr>
          <w:p>
            <w:pPr>
              <w:rPr>
                <w:lang w:eastAsia="zh-CN" w:val="en-US"/>
              </w:rPr>
            </w:pPr>
            <w:r>
              <w:rPr>
                <w:lang w:eastAsia="zh-CN" w:val="en-US"/>
              </w:rPr>
              <w:t>This element specifies whether the semiHidden property (§2.7.3.16) shall be removed when this style is used by the content of the document. If this element is set, then an application shall ensure that even if the semiHidden element is specified on a style, that this property is removed when the document is resaved if the style is referenced by any content in the document.</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abstractNumId</w:t>
            </w:r>
          </w:p>
        </w:tc>
        <w:tc>
          <w:tcPr>
            <w:tcW w:w="6000" w:type="dxa"/>
          </w:tcPr>
          <w:p>
            <w:pPr>
              <w:rPr>
                <w:lang w:eastAsia="zh-CN" w:val="en-US"/>
              </w:rPr>
            </w:pPr>
            <w:r>
              <w:rPr>
                <w:lang w:eastAsia="zh-CN" w:val="en-US"/>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multiLevelType</w:t>
            </w:r>
          </w:p>
        </w:tc>
        <w:tc>
          <w:tcPr>
            <w:tcW w:w="6000" w:type="dxa"/>
          </w:tcPr>
          <w:p>
            <w:pPr>
              <w:rPr>
                <w:lang w:eastAsia="zh-CN" w:val="en-US"/>
              </w:rPr>
            </w:pPr>
            <w:r>
              <w:rPr>
                <w:lang w:eastAsia="zh-CN" w:val="en-US"/>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tmpl</w:t>
            </w:r>
          </w:p>
        </w:tc>
        <w:tc>
          <w:tcPr>
            <w:tcW w:w="6000" w:type="dxa"/>
          </w:tcPr>
          <w:p>
            <w:pPr>
              <w:rPr>
                <w:lang w:eastAsia="zh-CN" w:val="en-US"/>
              </w:rPr>
            </w:pPr>
            <w:r>
              <w:rPr>
                <w:lang w:eastAsia="zh-CN" w:val="en-US"/>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lvl</w:t>
            </w:r>
          </w:p>
        </w:tc>
        <w:tc>
          <w:tcPr>
            <w:tcW w:w="6000" w:type="dxa"/>
          </w:tcPr>
          <w:p>
            <w:pPr>
              <w:rPr>
                <w:lang w:eastAsia="zh-CN" w:val="en-US"/>
              </w:rPr>
            </w:pPr>
            <w:r>
              <w:rPr>
                <w:lang w:eastAsia="zh-CN" w:val="en-US"/>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DisableExcel</w:t>
            </w:r>
          </w:p>
        </w:tc>
        <w:tc>
          <w:tcPr>
            <w:tcW w:w="6000" w:type="dxa"/>
          </w:tcPr>
          <w:p>
            <w:pPr>
              <w:rPr>
                <w:lang w:eastAsia="zh-CN" w:val="en-US"/>
              </w:rPr>
            </w:pPr>
            <w:r>
              <w:rPr>
                <w:lang w:eastAsia="zh-CN" w:val="en-US"/>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1"/>
        <w:numPr>
          <w:ilvl w:val="0"/>
          <w:numId w:val="1"/>
        </w:numPr>
        <w:ind w:firstLineChars="0" w:leftChars="0" w:left="425" w:hanging="425"/>
        <w:rPr>
          <w:rFonts w:hint="eastAsia"/>
          <w:b/>
        </w:rPr>
      </w:pPr>
      <w:bookmarkStart w:name="_Toc240" w:id="240"/>
      <w:r>
        <w:rPr>
          <w:rFonts w:hint="eastAsia"/>
          <w:b/>
        </w:rPr>
        <w:t>报告模板（docx.ExecInnerTSL()）</w:t>
      </w:r>
      <w:bookmarkEnd w:id="240"/>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1" w:id="241"/>
      <w:r>
        <w:rPr>
          <w:rFonts w:hint="eastAsia"/>
          <w:b/>
        </w:rPr>
        <w:t>附注一：内置对象</w:t>
      </w:r>
      <w:bookmarkEnd w:id="241"/>
    </w:p>
    <w:p>
      <w:pPr>
        <w:pStyle w:val="Heading2"/>
        <w:numPr>
          <w:ilvl w:val="1"/>
          <w:numId w:val="1"/>
        </w:numPr>
        <w:ind w:firstLineChars="0" w:leftChars="0" w:left="850" w:hanging="453"/>
        <w:rPr>
          <w:rFonts w:hint="eastAsia"/>
          <w:b/>
        </w:rPr>
      </w:pPr>
      <w:bookmarkStart w:name="_Toc242" w:id="242"/>
      <w:r>
        <w:rPr>
          <w:rFonts w:hint="eastAsia"/>
          <w:b/>
        </w:rPr>
        <w:t>TwShading对象：表头底纹</w:t>
      </w:r>
      <w:bookmarkEnd w:id="24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43" w:id="243"/>
      <w:r>
        <w:rPr>
          <w:rFonts w:hint="eastAsia"/>
          <w:b/>
        </w:rPr>
        <w:t>TwTblBorders对象：表格边框属性</w:t>
      </w:r>
      <w:bookmarkEnd w:id="24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44" w:id="244"/>
      <w:r>
        <w:rPr>
          <w:rFonts w:hint="eastAsia"/>
          <w:b/>
        </w:rPr>
        <w:t>TTblCellMar对象：单元格边距设置</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45" w:id="245"/>
      <w:r>
        <w:rPr>
          <w:rFonts w:hint="eastAsia"/>
          <w:b/>
        </w:rPr>
        <w:t>TwTblpPr对象：表格样式</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bottomFromText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horizAnchor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leftFromText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rightFromText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tblpX</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tblpXSpec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tblpY</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tblpYSpec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topFromText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vertAnchor</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46" w:id="246"/>
      <w:r>
        <w:rPr>
          <w:rFonts w:hint="eastAsia"/>
          <w:b/>
        </w:rPr>
        <w:t>TcellMerge对象：单元格属性</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Author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Date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ID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vmerge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vmergeOrig</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47" w:id="247"/>
      <w:r>
        <w:rPr>
          <w:rFonts w:hint="eastAsia"/>
          <w:b/>
        </w:rPr>
        <w:t>TCols对象：Column Definitions</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48" w:id="248"/>
      <w:r>
        <w:rPr>
          <w:rFonts w:hint="eastAsia"/>
          <w:b/>
        </w:rPr>
        <w:t>TDocGrid对象：Document Grid</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charSpace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49" w:id="249"/>
      <w:r>
        <w:rPr>
          <w:rFonts w:hint="eastAsia"/>
          <w:b/>
        </w:rPr>
        <w:t>TPageMargin对象：Page Margin设置</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50" w:id="250"/>
      <w:r>
        <w:rPr>
          <w:rFonts w:hint="eastAsia"/>
          <w:b/>
        </w:rPr>
        <w:t>TPage对象：页面设置</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 xml:space="preserve">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51" w:id="251"/>
      <w:r>
        <w:rPr>
          <w:rFonts w:hint="eastAsia"/>
          <w:b/>
        </w:rPr>
        <w:t>TPageBorders对象：页面边框属性</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offsetFrom</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52" w:id="252"/>
      <w:r>
        <w:rPr>
          <w:rFonts w:hint="eastAsia"/>
          <w:b/>
        </w:rPr>
        <w:t>TtblStylePr对象：表格样式</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pPr</w:t>
            </w:r>
          </w:p>
        </w:tc>
        <w:tc>
          <w:tcPr>
            <w:tcW w:w="6000" w:type="dxa"/>
          </w:tcPr>
          <w:p>
            <w:pPr>
              <w:rPr>
                <w:lang w:eastAsia="zh-CN" w:val="en-US"/>
              </w:rPr>
            </w:pPr>
            <w:r>
              <w:rPr>
                <w:lang w:eastAsia="zh-CN" w:val="en-US"/>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rPr</w:t>
            </w:r>
          </w:p>
        </w:tc>
        <w:tc>
          <w:tcPr>
            <w:tcW w:w="6000" w:type="dxa"/>
          </w:tcPr>
          <w:p>
            <w:pPr>
              <w:rPr>
                <w:lang w:eastAsia="zh-CN" w:val="en-US"/>
              </w:rPr>
            </w:pPr>
            <w:r>
              <w:rPr>
                <w:lang w:eastAsia="zh-CN" w:val="en-US"/>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TrPr</w:t>
            </w:r>
          </w:p>
        </w:tc>
        <w:tc>
          <w:tcPr>
            <w:tcW w:w="6000" w:type="dxa"/>
          </w:tcPr>
          <w:p>
            <w:pPr>
              <w:rPr>
                <w:lang w:eastAsia="zh-CN" w:val="en-US"/>
              </w:rPr>
            </w:pPr>
            <w:r>
              <w:rPr>
                <w:lang w:eastAsia="zh-CN" w:val="en-US"/>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TblPr</w:t>
            </w:r>
          </w:p>
        </w:tc>
        <w:tc>
          <w:tcPr>
            <w:tcW w:w="6000" w:type="dxa"/>
          </w:tcPr>
          <w:p>
            <w:pPr>
              <w:rPr>
                <w:lang w:eastAsia="zh-CN" w:val="en-US"/>
              </w:rPr>
            </w:pPr>
            <w:r>
              <w:rPr>
                <w:lang w:eastAsia="zh-CN" w:val="en-US"/>
              </w:rPr>
              <w:t>表格属性(TwTblPr对象)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TcPr</w:t>
            </w:r>
          </w:p>
        </w:tc>
        <w:tc>
          <w:tcPr>
            <w:tcW w:w="6000" w:type="dxa"/>
          </w:tcPr>
          <w:p>
            <w:pPr>
              <w:rPr>
                <w:lang w:eastAsia="zh-CN" w:val="en-US"/>
              </w:rPr>
            </w:pPr>
            <w:r>
              <w:rPr>
                <w:lang w:eastAsia="zh-CN" w:val="en-US"/>
              </w:rPr>
              <w:t>单元格属性(TwTcPr对象)</w:t>
            </w:r>
          </w:p>
        </w:tc>
      </w:tr>
    </w:tbl>
    <w:p>
      <w:pPr>
        <w:pStyle w:val="Heading2"/>
        <w:numPr>
          <w:ilvl w:val="1"/>
          <w:numId w:val="1"/>
        </w:numPr>
        <w:ind w:firstLineChars="0" w:leftChars="0" w:left="850" w:hanging="453"/>
        <w:rPr>
          <w:rFonts w:hint="eastAsia"/>
          <w:b/>
        </w:rPr>
      </w:pPr>
      <w:bookmarkStart w:name="_Toc253" w:id="253"/>
      <w:r>
        <w:rPr>
          <w:rFonts w:hint="eastAsia"/>
          <w:b/>
        </w:rPr>
        <w:t>TwpPr对象：段落格式</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NumPr</w:t>
            </w:r>
          </w:p>
        </w:tc>
        <w:tc>
          <w:tcPr>
            <w:tcW w:w="6000" w:type="dxa"/>
          </w:tcPr>
          <w:p>
            <w:pPr>
              <w:rPr>
                <w:lang w:eastAsia="zh-CN" w:val="en-US"/>
              </w:rPr>
            </w:pPr>
            <w:r>
              <w:rPr>
                <w:lang w:eastAsia="zh-CN" w:val="en-US"/>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continue"/>
          </w:tcPr>
          <w:p/>
        </w:tc>
        <w:tc>
          <w:tcPr>
            <w:tcW w:w="2100" w:type="dxa"/>
          </w:tcPr>
          <w:p>
            <w:pPr>
              <w:rPr>
                <w:lang w:eastAsia="zh-CN" w:val="en-US"/>
              </w:rPr>
            </w:pPr>
            <w:r>
              <w:rPr>
                <w:lang w:eastAsia="zh-CN" w:val="en-US"/>
              </w:rPr>
              <w: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24</w:t>
            </w:r>
          </w:p>
        </w:tc>
        <w:tc>
          <w:tcPr>
            <w:tcW w:w="2100" w:type="dxa"/>
            <w:gridSpan w:val="1"/>
            <w:vMerge w:val="continue"/>
          </w:tcPr>
          <w:p/>
        </w:tc>
        <w:tc>
          <w:tcPr>
            <w:tcW w:w="2100" w:type="dxa"/>
          </w:tcPr>
          <w:p>
            <w:pPr>
              <w:rPr>
                <w:lang w:eastAsia="zh-CN" w:val="en-US"/>
              </w:rPr>
            </w:pPr>
            <w:r>
              <w:rPr>
                <w:lang w:eastAsia="zh-CN" w:val="en-US"/>
              </w:rPr>
              <w: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25</w:t>
            </w:r>
          </w:p>
        </w:tc>
        <w:tc>
          <w:tcPr>
            <w:tcW w:w="2100" w:type="dxa"/>
            <w:gridSpan w:val="1"/>
            <w:vMerge w:val="continue"/>
          </w:tcPr>
          <w:p/>
        </w:tc>
        <w:tc>
          <w:tcPr>
            <w:tcW w:w="2100" w:type="dxa"/>
          </w:tcPr>
          <w:p>
            <w:pPr>
              <w:rPr>
                <w:lang w:eastAsia="zh-CN" w:val="en-US"/>
              </w:rPr>
            </w:pPr>
            <w:r>
              <w:rPr>
                <w:lang w:eastAsia="zh-CN" w:val="en-US"/>
              </w:rPr>
              <w: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26</w:t>
            </w:r>
          </w:p>
        </w:tc>
        <w:tc>
          <w:tcPr>
            <w:tcW w:w="2100" w:type="dxa"/>
            <w:gridSpan w:val="1"/>
            <w:vMerge w:val="continue"/>
          </w:tcPr>
          <w:p/>
        </w:tc>
        <w:tc>
          <w:tcPr>
            <w:tcW w:w="2100" w:type="dxa"/>
          </w:tcPr>
          <w:p>
            <w:pPr>
              <w:rPr>
                <w:lang w:eastAsia="zh-CN" w:val="en-US"/>
              </w:rPr>
            </w:pPr>
            <w:r>
              <w:rPr>
                <w:lang w:eastAsia="zh-CN" w:val="en-US"/>
              </w:rPr>
              <w: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27</w:t>
            </w:r>
          </w:p>
        </w:tc>
        <w:tc>
          <w:tcPr>
            <w:tcW w:w="2100" w:type="dxa"/>
            <w:gridSpan w:val="1"/>
            <w:vMerge w:val="continue"/>
          </w:tcPr>
          <w:p/>
        </w:tc>
        <w:tc>
          <w:tcPr>
            <w:tcW w:w="2100" w:type="dxa"/>
          </w:tcPr>
          <w:p>
            <w:pPr>
              <w:rPr>
                <w:lang w:eastAsia="zh-CN" w:val="en-US"/>
              </w:rPr>
            </w:pPr>
            <w:r>
              <w:rPr>
                <w:lang w:eastAsia="zh-CN" w:val="en-US"/>
              </w:rPr>
              <w: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28</w:t>
            </w:r>
          </w:p>
        </w:tc>
        <w:tc>
          <w:tcPr>
            <w:tcW w:w="2100" w:type="dxa"/>
            <w:gridSpan w:val="1"/>
            <w:vMerge w:val="continue"/>
          </w:tcPr>
          <w:p/>
        </w:tc>
        <w:tc>
          <w:tcPr>
            <w:tcW w:w="2100" w:type="dxa"/>
          </w:tcPr>
          <w:p>
            <w:pPr>
              <w:rPr>
                <w:lang w:eastAsia="zh-CN" w:val="en-US"/>
              </w:rPr>
            </w:pPr>
            <w:r>
              <w:rPr>
                <w:lang w:eastAsia="zh-CN" w:val="en-US"/>
              </w:rPr>
              <w: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29</w:t>
            </w:r>
          </w:p>
        </w:tc>
        <w:tc>
          <w:tcPr>
            <w:tcW w:w="2100" w:type="dxa"/>
            <w:gridSpan w:val="1"/>
            <w:vMerge w:val="continue"/>
          </w:tcPr>
          <w:p/>
        </w:tc>
        <w:tc>
          <w:tcPr>
            <w:tcW w:w="2100" w:type="dxa"/>
          </w:tcPr>
          <w:p>
            <w:pPr>
              <w:rPr>
                <w:lang w:eastAsia="zh-CN" w:val="en-US"/>
              </w:rPr>
            </w:pPr>
            <w:r>
              <w:rPr>
                <w:lang w:eastAsia="zh-CN" w:val="en-US"/>
              </w:rPr>
              <w:t>Bdr</w:t>
            </w:r>
          </w:p>
        </w:tc>
        <w:tc>
          <w:tcPr>
            <w:tcW w:w="6000" w:type="dxa"/>
          </w:tcPr>
          <w:p>
            <w:pPr>
              <w:rPr>
                <w:lang w:eastAsia="zh-CN" w:val="en-US"/>
              </w:rPr>
            </w:pPr>
            <w:r>
              <w:rPr>
                <w:lang w:eastAsia="zh-CN" w:val="en-US"/>
              </w:rPr>
              <w:t>文字边框(TpBdr对象)</w:t>
            </w:r>
          </w:p>
        </w:tc>
      </w:tr>
    </w:tbl>
    <w:p>
      <w:pPr>
        <w:pStyle w:val="Heading2"/>
        <w:numPr>
          <w:ilvl w:val="1"/>
          <w:numId w:val="1"/>
        </w:numPr>
        <w:ind w:firstLineChars="0" w:leftChars="0" w:left="850" w:hanging="453"/>
        <w:rPr>
          <w:rFonts w:hint="eastAsia"/>
          <w:b/>
        </w:rPr>
      </w:pPr>
      <w:bookmarkStart w:name="_Toc254" w:id="254"/>
      <w:r>
        <w:rPr>
          <w:rFonts w:hint="eastAsia"/>
          <w:b/>
        </w:rPr>
        <w:t>TwrPr对象：字体属性</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rFont.hAnsiTheme</w:t>
            </w:r>
          </w:p>
        </w:tc>
        <w:tc>
          <w:tcPr>
            <w:tcW w:w="6000" w:type="dxa"/>
          </w:tcPr>
          <w:p>
            <w:pPr>
              <w:rPr>
                <w:lang w:eastAsia="zh-CN" w:val="en-US"/>
              </w:rPr>
            </w:pPr>
            <w:r>
              <w:rPr>
                <w:lang w:eastAsia="zh-CN" w:val="en-US"/>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rFont.csTheme</w:t>
            </w:r>
          </w:p>
        </w:tc>
        <w:tc>
          <w:tcPr>
            <w:tcW w:w="6000" w:type="dxa"/>
          </w:tcPr>
          <w:p>
            <w:pPr>
              <w:rPr>
                <w:lang w:eastAsia="zh-CN" w:val="en-US"/>
              </w:rPr>
            </w:pPr>
            <w:r>
              <w:rPr>
                <w:lang w:eastAsia="zh-CN" w:val="en-US"/>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20</w:t>
            </w:r>
          </w:p>
        </w:tc>
        <w:tc>
          <w:tcPr>
            <w:tcW w:w="2100" w:type="dxa"/>
            <w:gridSpan w:val="1"/>
            <w:vMerge w:val="continue"/>
          </w:tcPr>
          <w:p/>
        </w:tc>
        <w:tc>
          <w:tcPr>
            <w:tcW w:w="2100" w:type="dxa"/>
          </w:tcPr>
          <w:p>
            <w:pPr>
              <w:rPr>
                <w:lang w:eastAsia="zh-CN" w:val="en-US"/>
              </w:rPr>
            </w:pPr>
            <w:r>
              <w:rPr>
                <w:lang w:eastAsia="zh-CN" w:val="en-US"/>
              </w:rPr>
              <w: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21</w:t>
            </w:r>
          </w:p>
        </w:tc>
        <w:tc>
          <w:tcPr>
            <w:tcW w:w="2100" w:type="dxa"/>
            <w:gridSpan w:val="1"/>
            <w:vMerge w:val="continue"/>
          </w:tcPr>
          <w:p/>
        </w:tc>
        <w:tc>
          <w:tcPr>
            <w:tcW w:w="2100" w:type="dxa"/>
          </w:tcPr>
          <w:p>
            <w:pPr>
              <w:rPr>
                <w:lang w:eastAsia="zh-CN" w:val="en-US"/>
              </w:rPr>
            </w:pPr>
            <w:r>
              <w:rPr>
                <w:lang w:eastAsia="zh-CN" w:val="en-US"/>
              </w:rPr>
              <w: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22</w:t>
            </w:r>
          </w:p>
        </w:tc>
        <w:tc>
          <w:tcPr>
            <w:tcW w:w="2100" w:type="dxa"/>
            <w:gridSpan w:val="1"/>
            <w:vMerge w:val="continue"/>
          </w:tcPr>
          <w:p/>
        </w:tc>
        <w:tc>
          <w:tcPr>
            <w:tcW w:w="2100" w:type="dxa"/>
          </w:tcPr>
          <w:p>
            <w:pPr>
              <w:rPr>
                <w:lang w:eastAsia="zh-CN" w:val="en-US"/>
              </w:rPr>
            </w:pPr>
            <w:r>
              <w:rPr>
                <w:lang w:eastAsia="zh-CN" w:val="en-US"/>
              </w:rPr>
              <w: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23</w:t>
            </w:r>
          </w:p>
        </w:tc>
        <w:tc>
          <w:tcPr>
            <w:tcW w:w="2100" w:type="dxa"/>
            <w:gridSpan w:val="1"/>
            <w:vMerge w:val="continue"/>
          </w:tcPr>
          <w:p/>
        </w:tc>
        <w:tc>
          <w:tcPr>
            <w:tcW w:w="2100" w:type="dxa"/>
          </w:tcPr>
          <w:p>
            <w:pPr>
              <w:rPr>
                <w:lang w:eastAsia="zh-CN" w:val="en-US"/>
              </w:rPr>
            </w:pPr>
            <w:r>
              <w:rPr>
                <w:lang w:eastAsia="zh-CN" w:val="en-US"/>
              </w:rPr>
              <w: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255" w:id="255"/>
      <w:r>
        <w:rPr>
          <w:rFonts w:hint="eastAsia"/>
          <w:b/>
        </w:rPr>
        <w:t>TwTrPr对象：表格行属性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Height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Rule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Alignment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CantSplit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cnfStyle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gridAfter</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gridBefore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hidden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tblHeader</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56" w:id="256"/>
      <w:r>
        <w:rPr>
          <w:rFonts w:hint="eastAsia"/>
          <w:b/>
        </w:rPr>
        <w:t>TwTblPr对象：表格样式</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StyleID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WidthType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NoVBand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NoHBand</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LastRow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LastColumn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FirstRow</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FirstColumn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bidiVisual</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Alignment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Indent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IndentType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15</w:t>
            </w:r>
          </w:p>
        </w:tc>
        <w:tc>
          <w:tcPr>
            <w:tcW w:w="2100" w:type="dxa"/>
            <w:gridSpan w:val="1"/>
            <w:vMerge w:val="continue"/>
          </w:tcPr>
          <w:p/>
        </w:tc>
        <w:tc>
          <w:tcPr>
            <w:tcW w:w="2100" w:type="dxa"/>
          </w:tcPr>
          <w:p>
            <w:pPr>
              <w:rPr>
                <w:lang w:eastAsia="zh-CN" w:val="en-US"/>
              </w:rPr>
            </w:pPr>
            <w:r>
              <w:rPr>
                <w:lang w:eastAsia="zh-CN" w:val="en-US"/>
              </w:rPr>
              <w: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16</w:t>
            </w:r>
          </w:p>
        </w:tc>
        <w:tc>
          <w:tcPr>
            <w:tcW w:w="2100" w:type="dxa"/>
            <w:gridSpan w:val="1"/>
            <w:vMerge w:val="continue"/>
          </w:tcPr>
          <w:p/>
        </w:tc>
        <w:tc>
          <w:tcPr>
            <w:tcW w:w="2100" w:type="dxa"/>
          </w:tcPr>
          <w:p>
            <w:pPr>
              <w:rPr>
                <w:lang w:eastAsia="zh-CN" w:val="en-US"/>
              </w:rPr>
            </w:pPr>
            <w:r>
              <w:rPr>
                <w:lang w:eastAsia="zh-CN" w:val="en-US"/>
              </w:rPr>
              <w:t>Autofit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17</w:t>
            </w:r>
          </w:p>
        </w:tc>
        <w:tc>
          <w:tcPr>
            <w:tcW w:w="2100" w:type="dxa"/>
            <w:gridSpan w:val="1"/>
            <w:vMerge w:val="continue"/>
          </w:tcPr>
          <w:p/>
        </w:tc>
        <w:tc>
          <w:tcPr>
            <w:tcW w:w="2100" w:type="dxa"/>
          </w:tcPr>
          <w:p>
            <w:pPr>
              <w:rPr>
                <w:lang w:eastAsia="zh-CN" w:val="en-US"/>
              </w:rPr>
            </w:pPr>
            <w:r>
              <w:rPr>
                <w:lang w:eastAsia="zh-CN" w:val="en-US"/>
              </w:rPr>
              <w: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18</w:t>
            </w:r>
          </w:p>
        </w:tc>
        <w:tc>
          <w:tcPr>
            <w:tcW w:w="2100" w:type="dxa"/>
            <w:gridSpan w:val="1"/>
            <w:vMerge w:val="continue"/>
          </w:tcPr>
          <w:p/>
        </w:tc>
        <w:tc>
          <w:tcPr>
            <w:tcW w:w="2100" w:type="dxa"/>
          </w:tcPr>
          <w:p>
            <w:pPr>
              <w:rPr>
                <w:lang w:eastAsia="zh-CN" w:val="en-US"/>
              </w:rPr>
            </w:pPr>
            <w:r>
              <w:rPr>
                <w:lang w:eastAsia="zh-CN" w:val="en-US"/>
              </w:rPr>
              <w:t>Overlap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19</w:t>
            </w:r>
          </w:p>
        </w:tc>
        <w:tc>
          <w:tcPr>
            <w:tcW w:w="2100" w:type="dxa"/>
            <w:gridSpan w:val="1"/>
            <w:vMerge w:val="continue"/>
          </w:tcPr>
          <w:p/>
        </w:tc>
        <w:tc>
          <w:tcPr>
            <w:tcW w:w="2100" w:type="dxa"/>
          </w:tcPr>
          <w:p>
            <w:pPr>
              <w:rPr>
                <w:lang w:eastAsia="zh-CN" w:val="en-US"/>
              </w:rPr>
            </w:pPr>
            <w:r>
              <w:rPr>
                <w:lang w:eastAsia="zh-CN" w:val="en-US"/>
              </w:rPr>
              <w:t>tblpPr</w:t>
            </w:r>
          </w:p>
        </w:tc>
        <w:tc>
          <w:tcPr>
            <w:tcW w:w="6000" w:type="dxa"/>
          </w:tcPr>
          <w:p>
            <w:pPr>
              <w:rPr>
                <w:lang w:eastAsia="zh-CN" w:val="en-US"/>
              </w:rPr>
            </w:pPr>
            <w:r>
              <w:rPr>
                <w:lang w:eastAsia="zh-CN" w:val="en-US"/>
              </w:rPr>
              <w:t>表格样式(TwTblpPr对象)</w:t>
            </w:r>
          </w:p>
        </w:tc>
      </w:tr>
    </w:tbl>
    <w:p>
      <w:pPr>
        <w:pStyle w:val="Heading2"/>
        <w:numPr>
          <w:ilvl w:val="1"/>
          <w:numId w:val="1"/>
        </w:numPr>
        <w:ind w:firstLineChars="0" w:leftChars="0" w:left="850" w:hanging="453"/>
        <w:rPr>
          <w:rFonts w:hint="eastAsia"/>
          <w:b/>
        </w:rPr>
      </w:pPr>
      <w:bookmarkStart w:name="_Toc257" w:id="257"/>
      <w:r>
        <w:rPr>
          <w:rFonts w:hint="eastAsia"/>
          <w:b/>
        </w:rPr>
        <w:t>TwTcPr对象：单元格样式</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Width</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Type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cnfStyle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gridSpan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hideMark</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hmerge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9</w:t>
            </w:r>
          </w:p>
        </w:tc>
        <w:tc>
          <w:tcPr>
            <w:tcW w:w="2100" w:type="dxa"/>
            <w:gridSpan w:val="1"/>
            <w:vMerge w:val="continue"/>
          </w:tcPr>
          <w:p/>
        </w:tc>
        <w:tc>
          <w:tcPr>
            <w:tcW w:w="2100" w:type="dxa"/>
          </w:tcPr>
          <w:p>
            <w:pPr>
              <w:rPr>
                <w:lang w:eastAsia="zh-CN" w:val="en-US"/>
              </w:rPr>
            </w:pPr>
            <w:r>
              <w:rPr>
                <w:lang w:eastAsia="zh-CN" w:val="en-US"/>
              </w:rPr>
              <w:t>noWrap</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10</w:t>
            </w:r>
          </w:p>
        </w:tc>
        <w:tc>
          <w:tcPr>
            <w:tcW w:w="2100" w:type="dxa"/>
            <w:gridSpan w:val="1"/>
            <w:vMerge w:val="continue"/>
          </w:tcPr>
          <w:p/>
        </w:tc>
        <w:tc>
          <w:tcPr>
            <w:tcW w:w="2100" w:type="dxa"/>
          </w:tcPr>
          <w:p>
            <w:pPr>
              <w:rPr>
                <w:lang w:eastAsia="zh-CN" w:val="en-US"/>
              </w:rPr>
            </w:pPr>
            <w:r>
              <w:rPr>
                <w:lang w:eastAsia="zh-CN" w:val="en-US"/>
              </w:rPr>
              <w:t>tcFitText</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11</w:t>
            </w:r>
          </w:p>
        </w:tc>
        <w:tc>
          <w:tcPr>
            <w:tcW w:w="2100" w:type="dxa"/>
            <w:gridSpan w:val="1"/>
            <w:vMerge w:val="continue"/>
          </w:tcPr>
          <w:p/>
        </w:tc>
        <w:tc>
          <w:tcPr>
            <w:tcW w:w="2100" w:type="dxa"/>
          </w:tcPr>
          <w:p>
            <w:pPr>
              <w:rPr>
                <w:lang w:eastAsia="zh-CN" w:val="en-US"/>
              </w:rPr>
            </w:pPr>
            <w:r>
              <w:rPr>
                <w:lang w:eastAsia="zh-CN" w:val="en-US"/>
              </w:rPr>
              <w:t>textDirection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12</w:t>
            </w:r>
          </w:p>
        </w:tc>
        <w:tc>
          <w:tcPr>
            <w:tcW w:w="2100" w:type="dxa"/>
            <w:gridSpan w:val="1"/>
            <w:vMerge w:val="continue"/>
          </w:tcPr>
          <w:p/>
        </w:tc>
        <w:tc>
          <w:tcPr>
            <w:tcW w:w="2100" w:type="dxa"/>
          </w:tcPr>
          <w:p>
            <w:pPr>
              <w:rPr>
                <w:lang w:eastAsia="zh-CN" w:val="en-US"/>
              </w:rPr>
            </w:pPr>
            <w:r>
              <w:rPr>
                <w:lang w:eastAsia="zh-CN" w:val="en-US"/>
              </w:rPr>
              <w:t>cellMerge</w:t>
            </w:r>
          </w:p>
        </w:tc>
        <w:tc>
          <w:tcPr>
            <w:tcW w:w="6000" w:type="dxa"/>
          </w:tcPr>
          <w:p>
            <w:pPr>
              <w:rPr>
                <w:lang w:eastAsia="zh-CN" w:val="en-US"/>
              </w:rPr>
            </w:pPr>
            <w:r>
              <w:rPr>
                <w:lang w:eastAsia="zh-CN" w:val="en-US"/>
              </w:rPr>
              <w:t>单元格属性(TcellMerge对象)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13</w:t>
            </w:r>
          </w:p>
        </w:tc>
        <w:tc>
          <w:tcPr>
            <w:tcW w:w="2100" w:type="dxa"/>
            <w:gridSpan w:val="1"/>
            <w:vMerge w:val="continue"/>
          </w:tcPr>
          <w:p/>
        </w:tc>
        <w:tc>
          <w:tcPr>
            <w:tcW w:w="2100" w:type="dxa"/>
          </w:tcPr>
          <w:p>
            <w:pPr>
              <w:rPr>
                <w:lang w:eastAsia="zh-CN" w:val="en-US"/>
              </w:rPr>
            </w:pPr>
            <w:r>
              <w:rPr>
                <w:lang w:eastAsia="zh-CN" w:val="en-US"/>
              </w:rPr>
              <w:t>vAlign</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14</w:t>
            </w:r>
          </w:p>
        </w:tc>
        <w:tc>
          <w:tcPr>
            <w:tcW w:w="2100" w:type="dxa"/>
            <w:gridSpan w:val="1"/>
            <w:vMerge w:val="continue"/>
          </w:tcPr>
          <w:p/>
        </w:tc>
        <w:tc>
          <w:tcPr>
            <w:tcW w:w="2100" w:type="dxa"/>
          </w:tcPr>
          <w:p>
            <w:pPr>
              <w:rPr>
                <w:lang w:eastAsia="zh-CN" w:val="en-US"/>
              </w:rPr>
            </w:pPr>
            <w:r>
              <w:rPr>
                <w:lang w:eastAsia="zh-CN" w:val="en-US"/>
              </w:rPr>
              <w:t>vmerge</w:t>
            </w:r>
          </w:p>
        </w:tc>
        <w:tc>
          <w:tcPr>
            <w:tcW w:w="6000" w:type="dxa"/>
          </w:tcPr>
          <w:p>
            <w:pPr>
              <w:rPr>
                <w:lang w:eastAsia="zh-CN" w:val="en-US"/>
              </w:rPr>
            </w:pPr>
            <w:r>
              <w:rPr>
                <w:lang w:eastAsia="zh-CN" w:val="en-US"/>
              </w:rPr>
              <w:t/>
            </w:r>
          </w:p>
        </w:tc>
      </w:tr>
    </w:tbl>
    <w:p>
      <w:pPr>
        <w:pStyle w:val="Heading2"/>
        <w:numPr>
          <w:ilvl w:val="1"/>
          <w:numId w:val="1"/>
        </w:numPr>
        <w:ind w:firstLineChars="0" w:leftChars="0" w:left="850" w:hanging="453"/>
        <w:rPr>
          <w:rFonts w:hint="eastAsia"/>
          <w:b/>
        </w:rPr>
      </w:pPr>
      <w:bookmarkStart w:name="_Toc258" w:id="258"/>
      <w:r>
        <w:rPr>
          <w:rFonts w:hint="eastAsia"/>
          <w:b/>
        </w:rPr>
        <w:t>TLevel对象：编号级别的外观和行为</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ilvl</w:t>
            </w:r>
          </w:p>
        </w:tc>
        <w:tc>
          <w:tcPr>
            <w:tcW w:w="6000" w:type="dxa"/>
          </w:tcPr>
          <w:p>
            <w:pPr>
              <w:rPr>
                <w:lang w:eastAsia="zh-CN" w:val="en-US"/>
              </w:rPr>
            </w:pPr>
            <w:r>
              <w:rPr>
                <w:lang w:eastAsia="zh-CN" w:val="en-US"/>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tentative</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start</w:t>
            </w:r>
          </w:p>
        </w:tc>
        <w:tc>
          <w:tcPr>
            <w:tcW w:w="6000" w:type="dxa"/>
          </w:tcPr>
          <w:p>
            <w:pPr>
              <w:rPr>
                <w:lang w:eastAsia="zh-CN" w:val="en-US"/>
              </w:rPr>
            </w:pPr>
            <w:r>
              <w:rPr>
                <w:lang w:eastAsia="zh-CN" w:val="en-US"/>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numFmt</w:t>
            </w:r>
          </w:p>
        </w:tc>
        <w:tc>
          <w:tcPr>
            <w:tcW w:w="6000" w:type="dxa"/>
          </w:tcPr>
          <w:p>
            <w:pPr>
              <w:rPr>
                <w:lang w:eastAsia="zh-CN" w:val="en-US"/>
              </w:rPr>
            </w:pPr>
            <w:r>
              <w:rPr>
                <w:lang w:eastAsia="zh-CN" w:val="en-US"/>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lvlText</w:t>
            </w:r>
          </w:p>
        </w:tc>
        <w:tc>
          <w:tcPr>
            <w:tcW w:w="6000" w:type="dxa"/>
          </w:tcPr>
          <w:p>
            <w:pPr>
              <w:rPr>
                <w:lang w:eastAsia="zh-CN" w:val="en-US"/>
              </w:rPr>
            </w:pPr>
            <w:r>
              <w:rPr>
                <w:lang w:eastAsia="zh-CN" w:val="en-US"/>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lvlJc</w:t>
            </w:r>
          </w:p>
        </w:tc>
        <w:tc>
          <w:tcPr>
            <w:tcW w:w="6000" w:type="dxa"/>
          </w:tcPr>
          <w:p>
            <w:pPr>
              <w:rPr>
                <w:lang w:eastAsia="zh-CN" w:val="en-US"/>
              </w:rPr>
            </w:pPr>
            <w:r>
              <w:rPr>
                <w:lang w:eastAsia="zh-CN" w:val="en-US"/>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pPr</w:t>
            </w:r>
          </w:p>
        </w:tc>
        <w:tc>
          <w:tcPr>
            <w:tcW w:w="6000" w:type="dxa"/>
          </w:tcPr>
          <w:p>
            <w:pPr>
              <w:rPr>
                <w:lang w:eastAsia="zh-CN" w:val="en-US"/>
              </w:rPr>
            </w:pPr>
            <w:r>
              <w:rPr>
                <w:lang w:eastAsia="zh-CN" w:val="en-US"/>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59" w:id="259"/>
      <w:r>
        <w:rPr>
          <w:rFonts w:hint="eastAsia"/>
          <w:b/>
        </w:rPr>
        <w:t>TwBorder对象：边框属性</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5</w:t>
            </w:r>
          </w:p>
        </w:tc>
        <w:tc>
          <w:tcPr>
            <w:tcW w:w="2100" w:type="dxa"/>
            <w:gridSpan w:val="1"/>
            <w:vMerge w:val="continue"/>
          </w:tcPr>
          <w:p/>
        </w:tc>
        <w:tc>
          <w:tcPr>
            <w:tcW w:w="21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6</w:t>
            </w:r>
          </w:p>
        </w:tc>
        <w:tc>
          <w:tcPr>
            <w:tcW w:w="2100" w:type="dxa"/>
            <w:gridSpan w:val="1"/>
            <w:vMerge w:val="continue"/>
          </w:tcPr>
          <w:p/>
        </w:tc>
        <w:tc>
          <w:tcPr>
            <w:tcW w:w="21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7</w:t>
            </w:r>
          </w:p>
        </w:tc>
        <w:tc>
          <w:tcPr>
            <w:tcW w:w="2100" w:type="dxa"/>
            <w:gridSpan w:val="1"/>
            <w:vMerge w:val="continue"/>
          </w:tcPr>
          <w:p/>
        </w:tc>
        <w:tc>
          <w:tcPr>
            <w:tcW w:w="21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8</w:t>
            </w:r>
          </w:p>
        </w:tc>
        <w:tc>
          <w:tcPr>
            <w:tcW w:w="2100" w:type="dxa"/>
            <w:gridSpan w:val="1"/>
            <w:vMerge w:val="continue"/>
          </w:tcPr>
          <w:p/>
        </w:tc>
        <w:tc>
          <w:tcPr>
            <w:tcW w:w="21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2"/>
        <w:numPr>
          <w:ilvl w:val="1"/>
          <w:numId w:val="1"/>
        </w:numPr>
        <w:ind w:firstLineChars="0" w:leftChars="0" w:left="850" w:hanging="453"/>
        <w:rPr>
          <w:rFonts w:hint="eastAsia"/>
          <w:b/>
        </w:rPr>
      </w:pPr>
      <w:bookmarkStart w:name="_Toc260" w:id="260"/>
      <w:r>
        <w:rPr>
          <w:rFonts w:hint="eastAsia"/>
          <w:b/>
        </w:rPr>
        <w:t>TNumPr对象：项目编号、数字编号</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Level</w:t>
            </w:r>
          </w:p>
        </w:tc>
        <w:tc>
          <w:tcPr>
            <w:tcW w:w="6000" w:type="dxa"/>
          </w:tcPr>
          <w:p>
            <w:pPr>
              <w:rPr>
                <w:lang w:eastAsia="zh-CN" w:val="en-US"/>
              </w:rPr>
            </w:pPr>
            <w:r>
              <w:rPr>
                <w:lang w:eastAsia="zh-CN" w:val="en-US"/>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numId</w:t>
            </w:r>
          </w:p>
        </w:tc>
        <w:tc>
          <w:tcPr>
            <w:tcW w:w="6000" w:type="dxa"/>
          </w:tcPr>
          <w:p>
            <w:pPr>
              <w:rPr>
                <w:lang w:eastAsia="zh-CN" w:val="en-US"/>
              </w:rPr>
            </w:pPr>
            <w:r>
              <w:rPr>
                <w:lang w:eastAsia="zh-CN" w:val="en-US"/>
              </w:rPr>
              <w:t>项目编号ID</w:t>
            </w:r>
          </w:p>
        </w:tc>
      </w:tr>
    </w:tbl>
    <w:p>
      <w:pPr>
        <w:pStyle w:val="Heading2"/>
        <w:numPr>
          <w:ilvl w:val="1"/>
          <w:numId w:val="1"/>
        </w:numPr>
        <w:ind w:firstLineChars="0" w:leftChars="0" w:left="850" w:hanging="453"/>
        <w:rPr>
          <w:rFonts w:hint="eastAsia"/>
          <w:b/>
        </w:rPr>
      </w:pPr>
      <w:bookmarkStart w:name="_Toc261" w:id="261"/>
      <w:r>
        <w:rPr>
          <w:rFonts w:hint="eastAsia"/>
          <w:b/>
        </w:rPr>
        <w:t>TpBdr对象：文字边框</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Index</w:t>
            </w:r>
          </w:p>
        </w:tc>
        <w:tc>
          <w:tcPr>
            <w:tcW w:w="2100" w:type="dxa"/>
            <w:shd w:fill="DBEEF3" w:themeFill="accent5" w:themeFillTint="32"/>
          </w:tcPr>
          <w:p>
            <w:pPr>
              <w:rPr>
                <w:lang w:eastAsia="zh-CN" w:val="en-US"/>
              </w:rPr>
            </w:pPr>
            <w:r>
              <w:rPr>
                <w:lang w:eastAsia="zh-CN" w:val="en-US"/>
              </w:rPr>
              <w:t>类别</w:t>
            </w:r>
          </w:p>
        </w:tc>
        <w:tc>
          <w:tcPr>
            <w:tcW w:w="21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0</w:t>
            </w:r>
          </w:p>
        </w:tc>
        <w:tc>
          <w:tcPr>
            <w:tcW w:w="2100" w:type="dxa"/>
            <w:gridSpan w:val="1"/>
            <w:vMerge w:val="restart"/>
            <w:vAlign w:val="center"/>
          </w:tcPr>
          <w:p>
            <w:pPr>
              <w:rPr>
                <w:lang w:eastAsia="zh-CN" w:val="en-US"/>
              </w:rPr>
            </w:pPr>
            <w:r>
              <w:rPr>
                <w:lang w:eastAsia="zh-CN" w:val="en-US"/>
              </w:rPr>
              <w:t>属性</w:t>
            </w:r>
          </w:p>
        </w:tc>
        <w:tc>
          <w:tcPr>
            <w:tcW w:w="21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1</w:t>
            </w:r>
          </w:p>
        </w:tc>
        <w:tc>
          <w:tcPr>
            <w:tcW w:w="2100" w:type="dxa"/>
            <w:gridSpan w:val="1"/>
            <w:vMerge w:val="continue"/>
          </w:tcPr>
          <w:p/>
        </w:tc>
        <w:tc>
          <w:tcPr>
            <w:tcW w:w="21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2</w:t>
            </w:r>
          </w:p>
        </w:tc>
        <w:tc>
          <w:tcPr>
            <w:tcW w:w="2100" w:type="dxa"/>
            <w:gridSpan w:val="1"/>
            <w:vMerge w:val="continue"/>
          </w:tcPr>
          <w:p/>
        </w:tc>
        <w:tc>
          <w:tcPr>
            <w:tcW w:w="21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3</w:t>
            </w:r>
          </w:p>
        </w:tc>
        <w:tc>
          <w:tcPr>
            <w:tcW w:w="2100" w:type="dxa"/>
            <w:gridSpan w:val="1"/>
            <w:vMerge w:val="continue"/>
          </w:tcPr>
          <w:p/>
        </w:tc>
        <w:tc>
          <w:tcPr>
            <w:tcW w:w="21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Pr>
                <w:lang w:eastAsia="zh-CN" w:val="en-US"/>
              </w:rPr>
            </w:pPr>
            <w:r>
              <w:rPr>
                <w:lang w:eastAsia="zh-CN" w:val="en-US"/>
              </w:rPr>
              <w:t>4</w:t>
            </w:r>
          </w:p>
        </w:tc>
        <w:tc>
          <w:tcPr>
            <w:tcW w:w="2100" w:type="dxa"/>
            <w:gridSpan w:val="1"/>
            <w:vMerge w:val="continue"/>
          </w:tcPr>
          <w:p/>
        </w:tc>
        <w:tc>
          <w:tcPr>
            <w:tcW w:w="21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1"/>
        <w:numPr>
          <w:ilvl w:val="0"/>
          <w:numId w:val="1"/>
        </w:numPr>
        <w:ind w:firstLineChars="0" w:leftChars="0" w:left="425" w:hanging="425"/>
        <w:rPr>
          <w:rFonts w:hint="eastAsia"/>
          <w:b/>
        </w:rPr>
      </w:pPr>
      <w:bookmarkStart w:name="_Toc262" w:id="262"/>
      <w:r>
        <w:rPr>
          <w:rFonts w:hint="eastAsia"/>
          <w:b/>
        </w:rPr>
        <w:t>附注二：FAQ</w:t>
      </w:r>
      <w:bookmarkEnd w:id="262"/>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TOfficeApi().CodePage('中文');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p>
      <w:pPr>
        <w:numPr>
          <w:ilvl w:val="0"/>
          <w:numId w:val="9"/>
        </w:numPr>
        <w:ind w:left="500"/>
        <w:rPr>
          <w:b/>
          <w:color w:val="FF0000"/>
          <w:sz w:val="28"/>
        </w:rPr>
      </w:pPr>
      <w:r>
        <w:rPr>
          <w:b/>
          <w:color w:val="FF0000"/>
          <w:sz w:val="28"/>
        </w:rPr>
        <w:t xml:space="preserve">报告模板功能（TDocxFile::ExecInnerTSL）中，Word中执行[TSL]...[/TSL]时的字符集是啥？ </w:t>
      </w:r>
    </w:p>
    <w:p>
      <w:pPr>
        <w:ind w:left="880" w:hanging="300"/>
      </w:pPr>
      <w:r>
        <w:rPr/>
        <w:t xml:space="preserve">  是GBK。</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w:t>
      </w:r>
    </w:p>
    <w:p>
      <w:pPr>
        <w:ind w:left="880" w:hanging="300"/>
      </w:pPr>
      <w:r>
        <w:rPr/>
        <w:t xml:space="preserve">  1.5倍行距、默认5号字体、宋体。</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w:t>
      </w:r>
    </w:p>
    <w:p>
      <w:pPr>
        <w:ind w:left="880" w:hanging="300"/>
      </w:pPr>
      <w:r>
        <w:rPr/>
        <w:t xml:space="preserve"> ★用户可以利用word（或wps）生成自己想要格式的空文档，调用TDocxFile::OpenFile()打开即可。</w:t>
      </w:r>
    </w:p>
    <w:p>
      <w:pPr>
        <w:ind w:left="880" w:hanging="300"/>
      </w:pPr>
      <w:r>
        <w:rPr/>
        <w:t xml:space="preserve"> ★用户甚至可以设计好文档封面、目录、页脚、页眉，再调用TDocxFile::OpenFile()打开。</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1-17T16:28:55Z" w:id="0">
    <w:p>
      <w:r>
        <w:t>深圳市天软科技开发有限公司</w:t>
      </w:r>
    </w:p>
  </w:comment>
  <w:comment w:author="Tinysoft" w:date="2023-01-17T16:28:55Z" w:id="1">
    <w:p>
      <w:r>
        <w:t>嵌套批注：Tinysoft</w:t>
      </w:r>
    </w:p>
  </w:comment>
  <w:comment w:author="Tinysoft" w:date="2023-01-17T16:28:55Z" w:id="2">
    <w:p>
      <w:r>
        <w:t>2层嵌套批注Tiny</w:t>
      </w:r>
    </w:p>
  </w:comment>
  <w:comment w:author="Tinysoft" w:date="2023-01-17T16:28:55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